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7F3C4F" w:rsidRPr="007F3C4F" w:rsidRDefault="007F3C4F" w:rsidP="007F3C4F">
      <w:pPr>
        <w:pStyle w:val="BaumerFliesstext"/>
        <w:spacing w:before="240" w:line="360" w:lineRule="auto"/>
        <w:rPr>
          <w:b/>
          <w:bCs/>
          <w:iCs/>
          <w:sz w:val="28"/>
          <w:szCs w:val="28"/>
          <w:lang w:val="fr-FR"/>
        </w:rPr>
      </w:pPr>
      <w:r w:rsidRPr="007F3C4F">
        <w:rPr>
          <w:b/>
          <w:bCs/>
          <w:iCs/>
          <w:sz w:val="28"/>
          <w:szCs w:val="28"/>
          <w:lang w:val="fr-FR"/>
        </w:rPr>
        <w:t xml:space="preserve">Grande résistance : les nouvelles caméras IP 65/67 travaillent en toute fiabilité de -40 </w:t>
      </w:r>
      <w:r w:rsidR="00586D65">
        <w:rPr>
          <w:b/>
          <w:bCs/>
          <w:iCs/>
          <w:sz w:val="28"/>
          <w:szCs w:val="28"/>
          <w:lang w:val="fr-FR"/>
        </w:rPr>
        <w:t xml:space="preserve">°C </w:t>
      </w:r>
      <w:r w:rsidRPr="007F3C4F">
        <w:rPr>
          <w:b/>
          <w:bCs/>
          <w:iCs/>
          <w:sz w:val="28"/>
          <w:szCs w:val="28"/>
          <w:lang w:val="fr-FR"/>
        </w:rPr>
        <w:t>à +70 °C</w:t>
      </w:r>
    </w:p>
    <w:p w:rsidR="00247813" w:rsidRPr="00FD7912" w:rsidRDefault="00247813" w:rsidP="00247813">
      <w:pPr>
        <w:jc w:val="right"/>
        <w:rPr>
          <w:noProof/>
          <w:lang w:val="fr-FR"/>
        </w:rPr>
      </w:pPr>
    </w:p>
    <w:p w:rsidR="007F3C4F" w:rsidRPr="005C3B4B" w:rsidRDefault="000671B0" w:rsidP="007F3C4F">
      <w:pPr>
        <w:pStyle w:val="BaumerFliesstext"/>
        <w:spacing w:before="240" w:line="360" w:lineRule="auto"/>
        <w:rPr>
          <w:szCs w:val="20"/>
          <w:lang w:val="fr-FR"/>
        </w:rPr>
      </w:pPr>
      <w:r w:rsidRPr="00B1643C">
        <w:rPr>
          <w:noProof/>
          <w:lang w:val="de-DE"/>
        </w:rPr>
        <w:drawing>
          <wp:anchor distT="0" distB="0" distL="114300" distR="114300" simplePos="0" relativeHeight="251667456" behindDoc="0" locked="0" layoutInCell="1" allowOverlap="1" wp14:anchorId="2477F2BF" wp14:editId="28A84C99">
            <wp:simplePos x="0" y="0"/>
            <wp:positionH relativeFrom="column">
              <wp:posOffset>3596005</wp:posOffset>
            </wp:positionH>
            <wp:positionV relativeFrom="paragraph">
              <wp:posOffset>180340</wp:posOffset>
            </wp:positionV>
            <wp:extent cx="2449195" cy="1799590"/>
            <wp:effectExtent l="0" t="0" r="8255" b="0"/>
            <wp:wrapSquare wrapText="bothSides"/>
            <wp:docPr id="2" name="Grafik 2" descr="Z:\Marketing\MarCom\Bilder\6_presse\3437-1-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37-1-DC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1643C">
        <w:rPr>
          <w:szCs w:val="20"/>
          <w:lang w:val="fr-FR"/>
        </w:rPr>
        <w:t>(</w:t>
      </w:r>
      <w:r w:rsidR="00B1643C" w:rsidRPr="00B1643C">
        <w:rPr>
          <w:szCs w:val="20"/>
          <w:lang w:val="fr-FR"/>
        </w:rPr>
        <w:t>26</w:t>
      </w:r>
      <w:r w:rsidR="00F91039" w:rsidRPr="00B1643C">
        <w:rPr>
          <w:szCs w:val="20"/>
          <w:lang w:val="fr-FR"/>
        </w:rPr>
        <w:t>/</w:t>
      </w:r>
      <w:r w:rsidR="00B1643C" w:rsidRPr="00B1643C">
        <w:rPr>
          <w:szCs w:val="20"/>
          <w:lang w:val="fr-FR"/>
        </w:rPr>
        <w:t>10</w:t>
      </w:r>
      <w:r w:rsidR="00F91039" w:rsidRPr="00B1643C">
        <w:rPr>
          <w:szCs w:val="20"/>
          <w:lang w:val="fr-FR"/>
        </w:rPr>
        <w:t>/</w:t>
      </w:r>
      <w:r w:rsidR="00B1643C" w:rsidRPr="00B1643C">
        <w:rPr>
          <w:szCs w:val="20"/>
          <w:lang w:val="fr-FR"/>
        </w:rPr>
        <w:t>2017</w:t>
      </w:r>
      <w:r w:rsidR="00D73B0B" w:rsidRPr="00B1643C">
        <w:rPr>
          <w:szCs w:val="20"/>
          <w:lang w:val="fr-FR"/>
        </w:rPr>
        <w:t>)</w:t>
      </w:r>
      <w:r w:rsidR="00FF3BB6" w:rsidRPr="00FD7912">
        <w:rPr>
          <w:szCs w:val="20"/>
          <w:lang w:val="fr-FR"/>
        </w:rPr>
        <w:t xml:space="preserve"> </w:t>
      </w:r>
      <w:r w:rsidR="00423FCE" w:rsidRPr="00423FCE">
        <w:rPr>
          <w:lang w:val="fr-FR"/>
        </w:rPr>
        <w:t>Grâce à leurs plages de température étendues de -40</w:t>
      </w:r>
      <w:r w:rsidR="00214B33">
        <w:rPr>
          <w:lang w:val="fr-FR"/>
        </w:rPr>
        <w:t xml:space="preserve"> </w:t>
      </w:r>
      <w:r w:rsidR="00423FCE" w:rsidRPr="00423FCE">
        <w:rPr>
          <w:lang w:val="fr-FR"/>
        </w:rPr>
        <w:t>°C à +70</w:t>
      </w:r>
      <w:r w:rsidR="00214B33">
        <w:rPr>
          <w:lang w:val="fr-FR"/>
        </w:rPr>
        <w:t xml:space="preserve"> </w:t>
      </w:r>
      <w:r w:rsidR="00423FCE" w:rsidRPr="00423FCE">
        <w:rPr>
          <w:lang w:val="fr-FR"/>
        </w:rPr>
        <w:t xml:space="preserve">°C, les nouvelles caméras </w:t>
      </w:r>
      <w:r w:rsidR="00AF6335" w:rsidRPr="00423FCE">
        <w:rPr>
          <w:lang w:val="fr-FR"/>
        </w:rPr>
        <w:t>IP 65/67</w:t>
      </w:r>
      <w:r w:rsidR="00AF6335">
        <w:rPr>
          <w:lang w:val="fr-FR"/>
        </w:rPr>
        <w:t xml:space="preserve"> </w:t>
      </w:r>
      <w:r w:rsidR="00423FCE" w:rsidRPr="00423FCE">
        <w:rPr>
          <w:lang w:val="fr-FR"/>
        </w:rPr>
        <w:t xml:space="preserve">de la série </w:t>
      </w:r>
      <w:r w:rsidR="00AF6335">
        <w:rPr>
          <w:lang w:val="fr-FR"/>
        </w:rPr>
        <w:t xml:space="preserve">CX </w:t>
      </w:r>
      <w:r w:rsidR="00423FCE" w:rsidRPr="00423FCE">
        <w:rPr>
          <w:lang w:val="fr-FR"/>
        </w:rPr>
        <w:t>sont idéales même pour les applications extrêmement exigeantes dans des conditions ambiantes difficiles</w:t>
      </w:r>
      <w:r w:rsidR="00AF6335">
        <w:rPr>
          <w:lang w:val="fr-FR"/>
        </w:rPr>
        <w:t xml:space="preserve">. </w:t>
      </w:r>
      <w:r w:rsidR="007F3C4F" w:rsidRPr="007F3C4F">
        <w:rPr>
          <w:lang w:val="fr-FR"/>
        </w:rPr>
        <w:t xml:space="preserve">Pour une sélection de modèles on pourra ainsi renoncer à des mesures de refroidissement ou de chauffage supplémentaires. Cela permet une intégration thermique simple, et donc moins longue, et d’économiser sur les coûts du système. Le boîtier conforme IP 65/67 protège tous les composants sensibles de la caméra contre la saleté, les jets d’eau et une immersion temporaire. Un boîtier séparé devient donc superflu. De plus, un système de tube modulaire disponible en option, avec toute une série de bagues intermédiaires, permet une adaptation flexible et rapide de l’application en fonction de la longueur et du diamètre des objectifs utilisés. Les nouvelles caméras IP avec les capteurs CMOS PYTHON </w:t>
      </w:r>
      <w:r w:rsidR="007F3C4F" w:rsidRPr="007F3C4F">
        <w:rPr>
          <w:i/>
          <w:szCs w:val="20"/>
          <w:lang w:val="fr-FR"/>
        </w:rPr>
        <w:t>Sony Pregius</w:t>
      </w:r>
      <w:r w:rsidR="007F3C4F" w:rsidRPr="007F3C4F">
        <w:rPr>
          <w:lang w:val="fr-FR"/>
        </w:rPr>
        <w:t xml:space="preserve"> et </w:t>
      </w:r>
      <w:r w:rsidR="007F3C4F" w:rsidRPr="007F3C4F">
        <w:rPr>
          <w:i/>
          <w:szCs w:val="20"/>
          <w:lang w:val="fr-FR"/>
        </w:rPr>
        <w:t>ON Semiconductor</w:t>
      </w:r>
      <w:r w:rsidR="007F3C4F" w:rsidRPr="007F3C4F">
        <w:rPr>
          <w:lang w:val="fr-FR"/>
        </w:rPr>
        <w:t xml:space="preserve"> disposent d’une interface compatible </w:t>
      </w:r>
      <w:r w:rsidR="007F3C4F" w:rsidRPr="007F3C4F">
        <w:rPr>
          <w:i/>
          <w:szCs w:val="20"/>
          <w:lang w:val="fr-FR"/>
        </w:rPr>
        <w:t>GigE Vision</w:t>
      </w:r>
      <w:r w:rsidR="007F3C4F" w:rsidRPr="007F3C4F">
        <w:rPr>
          <w:lang w:val="fr-FR"/>
        </w:rPr>
        <w:t xml:space="preserve"> et se déclinent en 6 résolutions de 1,3 à 12 mégapixels. </w:t>
      </w:r>
      <w:r w:rsidR="007F3C4F" w:rsidRPr="005C3B4B">
        <w:rPr>
          <w:lang w:val="fr-FR"/>
        </w:rPr>
        <w:t>La p</w:t>
      </w:r>
      <w:r w:rsidR="009473F9">
        <w:rPr>
          <w:lang w:val="fr-FR"/>
        </w:rPr>
        <w:t>roduction en série débutera au 1</w:t>
      </w:r>
      <w:r w:rsidR="007F3C4F" w:rsidRPr="005C3B4B">
        <w:rPr>
          <w:vertAlign w:val="superscript"/>
          <w:lang w:val="fr-FR"/>
        </w:rPr>
        <w:t>e</w:t>
      </w:r>
      <w:r w:rsidR="009473F9">
        <w:rPr>
          <w:vertAlign w:val="superscript"/>
          <w:lang w:val="fr-FR"/>
        </w:rPr>
        <w:t>r</w:t>
      </w:r>
      <w:r w:rsidR="009473F9">
        <w:rPr>
          <w:lang w:val="fr-FR"/>
        </w:rPr>
        <w:t xml:space="preserve"> trimestre 2018</w:t>
      </w:r>
      <w:r w:rsidR="007F3C4F" w:rsidRPr="005C3B4B">
        <w:rPr>
          <w:lang w:val="fr-FR"/>
        </w:rPr>
        <w:t>.</w:t>
      </w:r>
    </w:p>
    <w:p w:rsidR="007F3C4F" w:rsidRPr="007F3C4F" w:rsidRDefault="007F3C4F" w:rsidP="007F3C4F">
      <w:pPr>
        <w:pStyle w:val="BaumerFliesstext"/>
        <w:spacing w:before="240" w:line="360" w:lineRule="auto"/>
        <w:rPr>
          <w:szCs w:val="20"/>
          <w:lang w:val="fr-FR"/>
        </w:rPr>
      </w:pPr>
      <w:r w:rsidRPr="007F3C4F">
        <w:rPr>
          <w:lang w:val="fr-FR"/>
        </w:rPr>
        <w:t>Quatre sorties optodécouplées avec une puissance de sortie maximale de 1,5 A et modulation de la largeur d’impulsion permettent la commande directe de jusqu’à quatre éclairages externes avec régulation de la luminosité. Ainsi, le procédé Shape-from-Shading permet par exemple de réaliser à moindres coûts des mesures précises lors de l’inspection de surface 3D pour la détection des moindres écarts de forme sans contrôleur d’éclairage. Le boîtier compact de 40 × 40 mm avec fixation M3 sur le pourtour résiste à des chocs jusqu’à 100 g et des vibrations jusqu’à 10 g. Combinant un faible poids</w:t>
      </w:r>
      <w:r w:rsidR="007F4523">
        <w:rPr>
          <w:lang w:val="fr-FR"/>
        </w:rPr>
        <w:t xml:space="preserve"> de 137</w:t>
      </w:r>
      <w:r w:rsidRPr="007F3C4F">
        <w:rPr>
          <w:lang w:val="fr-FR"/>
        </w:rPr>
        <w:t xml:space="preserve"> g et un connecteur M12 à codage X pour des solutions monocâble fiables avec Power over Ethernet (PoE), ces caméras sont prédestinées aux applications robotiques, par ex. dans la production automobile. Grâce à une surface anodisée dur, les caméras conviennent en outre à une utilisation dans le secteur pharmaceutique ou agroalimentaire, sans nécessiter de mesures supplémentaires pour protéger le boîtier.</w:t>
      </w:r>
    </w:p>
    <w:p w:rsidR="007F3C4F" w:rsidRPr="007F3C4F" w:rsidRDefault="007F3C4F" w:rsidP="007F3C4F">
      <w:pPr>
        <w:pStyle w:val="BaumerFliesstext"/>
        <w:spacing w:before="240" w:line="360" w:lineRule="auto"/>
        <w:rPr>
          <w:szCs w:val="20"/>
          <w:lang w:val="fr-FR"/>
        </w:rPr>
      </w:pPr>
      <w:r w:rsidRPr="007F3C4F">
        <w:rPr>
          <w:lang w:val="fr-FR"/>
        </w:rPr>
        <w:t xml:space="preserve">Cet enrichissement de la série CX avec l’arrivée des caméras IP 65/67 robustes, vous pourrez désormais choisir parmi 70 caméras CMOS avec des résolutions de VGA à 12 mégapixels pour maîtriser en toute flexibilité les applications les plus diverses. Les modèles CX équipés des détecteurs </w:t>
      </w:r>
      <w:r w:rsidRPr="007F3C4F">
        <w:rPr>
          <w:i/>
          <w:szCs w:val="20"/>
          <w:lang w:val="fr-FR"/>
        </w:rPr>
        <w:t>Sony Pregius</w:t>
      </w:r>
      <w:r w:rsidRPr="007F3C4F">
        <w:rPr>
          <w:lang w:val="fr-FR"/>
        </w:rPr>
        <w:t xml:space="preserve"> de 2</w:t>
      </w:r>
      <w:r w:rsidRPr="007F3C4F">
        <w:rPr>
          <w:vertAlign w:val="superscript"/>
          <w:lang w:val="fr-FR"/>
        </w:rPr>
        <w:t>e</w:t>
      </w:r>
      <w:r w:rsidRPr="007F3C4F">
        <w:rPr>
          <w:lang w:val="fr-FR"/>
        </w:rPr>
        <w:t xml:space="preserve"> génération permettent une exposition à partir de 1 µs et sont donc parfaitement adaptés à des applications à haute intensité lumineuse, comme lors du soudage au laser, ou à des domaines d’application à vitesses </w:t>
      </w:r>
      <w:r w:rsidRPr="007F3C4F">
        <w:rPr>
          <w:lang w:val="fr-FR"/>
        </w:rPr>
        <w:lastRenderedPageBreak/>
        <w:t xml:space="preserve">élevées, tels que l’équipement de circuits imprimés pour réduire le flou dû au mouvement. Les caméras CX avec capteurs </w:t>
      </w:r>
      <w:r w:rsidRPr="007F3C4F">
        <w:rPr>
          <w:i/>
          <w:szCs w:val="20"/>
          <w:lang w:val="fr-FR"/>
        </w:rPr>
        <w:t>ON Semiconductor</w:t>
      </w:r>
      <w:r w:rsidRPr="007F3C4F">
        <w:rPr>
          <w:lang w:val="fr-FR"/>
        </w:rPr>
        <w:t xml:space="preserve"> PYTHON permettent de réaliser plus de 1000 images par seconde en utilisation une zone d’intérêt (ROI = Region of Interest). Combinant le mode Burst Mode sur les modèles GigE et un séquenceur, les acquisitions de séquences d’images avec des réglages de caméra variables d’une image à l’autre, la solution d’applications rapides ne connaît pratiquement plus de limites.</w:t>
      </w:r>
    </w:p>
    <w:p w:rsidR="007F3C4F" w:rsidRPr="00F17E6A" w:rsidRDefault="007F3C4F" w:rsidP="00551B50">
      <w:pPr>
        <w:pStyle w:val="BaumerFliesstext"/>
        <w:pBdr>
          <w:bottom w:val="single" w:sz="4" w:space="1" w:color="auto"/>
        </w:pBdr>
        <w:spacing w:before="240" w:line="360" w:lineRule="auto"/>
        <w:rPr>
          <w:lang w:val="fr-FR"/>
        </w:rPr>
      </w:pPr>
      <w:r w:rsidRPr="007F3C4F">
        <w:rPr>
          <w:lang w:val="fr-FR"/>
        </w:rPr>
        <w:t>Pour de plus amples informations sur les nouvel</w:t>
      </w:r>
      <w:r w:rsidR="00551B50">
        <w:rPr>
          <w:lang w:val="fr-FR"/>
        </w:rPr>
        <w:t xml:space="preserve">les caméras IP de la série CX : </w:t>
      </w:r>
      <w:hyperlink r:id="rId12" w:history="1">
        <w:r w:rsidR="00722492" w:rsidRPr="00B67AB7">
          <w:rPr>
            <w:rStyle w:val="Hyperlink"/>
            <w:szCs w:val="20"/>
            <w:lang w:val="fr-FR"/>
          </w:rPr>
          <w:t>www.baumer.com/cameras/IP65-67/</w:t>
        </w:r>
      </w:hyperlink>
      <w:r w:rsidR="00722492">
        <w:rPr>
          <w:szCs w:val="20"/>
          <w:lang w:val="fr-FR"/>
        </w:rPr>
        <w:t xml:space="preserve"> </w:t>
      </w:r>
      <w:bookmarkStart w:id="0" w:name="_GoBack"/>
      <w:bookmarkEnd w:id="0"/>
    </w:p>
    <w:p w:rsidR="007F3C4F" w:rsidRPr="007F3C4F" w:rsidRDefault="007F3C4F" w:rsidP="007F3C4F">
      <w:pPr>
        <w:pStyle w:val="BaumerFliesstext"/>
        <w:pBdr>
          <w:bottom w:val="single" w:sz="4" w:space="1" w:color="auto"/>
        </w:pBdr>
        <w:spacing w:line="360" w:lineRule="auto"/>
        <w:jc w:val="both"/>
        <w:rPr>
          <w:szCs w:val="20"/>
          <w:lang w:val="fr-FR"/>
        </w:rPr>
      </w:pPr>
    </w:p>
    <w:p w:rsidR="00CA1312" w:rsidRPr="007F3C4F" w:rsidRDefault="00F91039" w:rsidP="00D73B0B">
      <w:pPr>
        <w:pStyle w:val="BaumerFliesstext"/>
        <w:tabs>
          <w:tab w:val="left" w:pos="3408"/>
        </w:tabs>
        <w:spacing w:before="120" w:line="360" w:lineRule="auto"/>
        <w:rPr>
          <w:iCs/>
          <w:noProof/>
          <w:szCs w:val="20"/>
          <w:lang w:val="fr-FR"/>
        </w:rPr>
      </w:pPr>
      <w:r w:rsidRPr="007E7981">
        <w:rPr>
          <w:noProof/>
          <w:szCs w:val="20"/>
          <w:lang w:val="fr-FR"/>
        </w:rPr>
        <w:t>Photo</w:t>
      </w:r>
      <w:r w:rsidR="00A633F4" w:rsidRPr="007E7981">
        <w:rPr>
          <w:noProof/>
          <w:szCs w:val="20"/>
          <w:lang w:val="fr-FR"/>
        </w:rPr>
        <w:t> </w:t>
      </w:r>
      <w:r w:rsidRPr="007E7981">
        <w:rPr>
          <w:noProof/>
          <w:szCs w:val="20"/>
          <w:lang w:val="fr-FR"/>
        </w:rPr>
        <w:t>:</w:t>
      </w:r>
      <w:r w:rsidRPr="007E7981">
        <w:rPr>
          <w:iCs/>
          <w:noProof/>
          <w:szCs w:val="20"/>
          <w:lang w:val="fr-FR"/>
        </w:rPr>
        <w:t xml:space="preserve"> </w:t>
      </w:r>
      <w:r w:rsidR="007F3C4F" w:rsidRPr="007F3C4F">
        <w:rPr>
          <w:lang w:val="fr-FR"/>
        </w:rPr>
        <w:t xml:space="preserve">Les nouvelles caméras IP 65/67 de la série CX résistent </w:t>
      </w:r>
      <w:r w:rsidR="00586D65" w:rsidRPr="007F3C4F">
        <w:rPr>
          <w:lang w:val="fr-FR"/>
        </w:rPr>
        <w:t>à</w:t>
      </w:r>
      <w:r w:rsidR="007F3C4F" w:rsidRPr="007F3C4F">
        <w:rPr>
          <w:lang w:val="fr-FR"/>
        </w:rPr>
        <w:t xml:space="preserve"> la poussière, aux jets d’eau et aux températures extrêmes de -40 </w:t>
      </w:r>
      <w:r w:rsidR="00586D65">
        <w:rPr>
          <w:lang w:val="fr-FR"/>
        </w:rPr>
        <w:t xml:space="preserve">°C </w:t>
      </w:r>
      <w:r w:rsidR="007F3C4F" w:rsidRPr="007F3C4F">
        <w:rPr>
          <w:lang w:val="fr-FR"/>
        </w:rPr>
        <w:t>à +70 °C.</w:t>
      </w:r>
    </w:p>
    <w:p w:rsidR="00454D57" w:rsidRPr="007E7981"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714EDE">
        <w:rPr>
          <w:sz w:val="16"/>
          <w:szCs w:val="16"/>
          <w:lang w:val="fr-FR"/>
        </w:rPr>
        <w:t>3400</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Default="00817F98" w:rsidP="00D73B0B">
      <w:pPr>
        <w:spacing w:line="360" w:lineRule="auto"/>
        <w:ind w:right="-2378"/>
        <w:rPr>
          <w:szCs w:val="20"/>
          <w:lang w:val="fr-FR"/>
        </w:rPr>
      </w:pPr>
    </w:p>
    <w:p w:rsidR="00A20CC3" w:rsidRPr="00FD7912" w:rsidRDefault="00A20CC3"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rsidR="00002BA3" w:rsidRPr="007E7981" w:rsidRDefault="007E7981" w:rsidP="00002BA3">
            <w:pPr>
              <w:spacing w:line="240" w:lineRule="exact"/>
              <w:rPr>
                <w:sz w:val="16"/>
                <w:szCs w:val="16"/>
                <w:lang w:val="en-US"/>
              </w:rPr>
            </w:pPr>
            <w:r w:rsidRPr="007E7981">
              <w:rPr>
                <w:sz w:val="16"/>
                <w:szCs w:val="16"/>
                <w:lang w:val="en-US"/>
              </w:rPr>
              <w:t>Nicole Marofsky</w:t>
            </w:r>
          </w:p>
          <w:p w:rsidR="007E7981" w:rsidRPr="00F531B1" w:rsidRDefault="007E7981" w:rsidP="007E7981">
            <w:pPr>
              <w:spacing w:line="240" w:lineRule="exact"/>
              <w:rPr>
                <w:sz w:val="16"/>
                <w:szCs w:val="16"/>
                <w:lang w:val="en-US"/>
              </w:rPr>
            </w:pPr>
            <w:r w:rsidRPr="00F531B1">
              <w:rPr>
                <w:sz w:val="16"/>
                <w:szCs w:val="16"/>
                <w:lang w:val="en-US"/>
              </w:rPr>
              <w:t>Marketing Communication</w:t>
            </w:r>
          </w:p>
          <w:p w:rsidR="007E7981" w:rsidRPr="00F531B1" w:rsidRDefault="007E7981" w:rsidP="007E7981">
            <w:pPr>
              <w:spacing w:line="240" w:lineRule="exact"/>
              <w:rPr>
                <w:sz w:val="16"/>
                <w:szCs w:val="16"/>
                <w:lang w:val="en-US"/>
              </w:rPr>
            </w:pPr>
            <w:r w:rsidRPr="00F531B1">
              <w:rPr>
                <w:sz w:val="16"/>
                <w:szCs w:val="16"/>
                <w:lang w:val="en-US"/>
              </w:rPr>
              <w:t>Vision Competence Center</w:t>
            </w:r>
          </w:p>
          <w:p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7E7981" w:rsidRPr="00F531B1">
              <w:rPr>
                <w:sz w:val="16"/>
                <w:szCs w:val="16"/>
                <w:lang w:val="en-US"/>
              </w:rPr>
              <w:t>+49 (0)3528 43 86 19</w:t>
            </w:r>
          </w:p>
          <w:p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7E7981" w:rsidRPr="00F531B1">
              <w:rPr>
                <w:sz w:val="16"/>
                <w:szCs w:val="16"/>
                <w:lang w:val="en-US"/>
              </w:rPr>
              <w:t>+49 (0)3528 43 86 86</w:t>
            </w:r>
          </w:p>
          <w:p w:rsidR="007E7981" w:rsidRPr="00F531B1" w:rsidRDefault="007E7981" w:rsidP="007E7981">
            <w:pPr>
              <w:spacing w:line="240" w:lineRule="exact"/>
              <w:rPr>
                <w:sz w:val="16"/>
                <w:szCs w:val="16"/>
                <w:lang w:val="en-US"/>
              </w:rPr>
            </w:pPr>
            <w:r w:rsidRPr="00F531B1">
              <w:rPr>
                <w:sz w:val="16"/>
                <w:szCs w:val="16"/>
                <w:lang w:val="en-US"/>
              </w:rPr>
              <w:t>nmarofsky@baumer.com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3B3B99"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3B3B99"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D06A30">
            <w:pPr>
              <w:spacing w:line="240" w:lineRule="exact"/>
              <w:rPr>
                <w:b/>
                <w:sz w:val="16"/>
                <w:szCs w:val="16"/>
                <w:lang w:val="fr-FR"/>
              </w:rPr>
            </w:pPr>
            <w:r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B99" w:rsidRDefault="003B3B99">
      <w:r>
        <w:separator/>
      </w:r>
    </w:p>
  </w:endnote>
  <w:endnote w:type="continuationSeparator" w:id="0">
    <w:p w:rsidR="003B3B99" w:rsidRDefault="003B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722492">
      <w:rPr>
        <w:noProof/>
      </w:rPr>
      <w:t>26.10.2017</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2249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22492">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722492">
      <w:rPr>
        <w:noProof/>
      </w:rPr>
      <w:t>26.10.2017</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B99" w:rsidRDefault="003B3B99">
      <w:r>
        <w:separator/>
      </w:r>
    </w:p>
  </w:footnote>
  <w:footnote w:type="continuationSeparator" w:id="0">
    <w:p w:rsidR="003B3B99" w:rsidRDefault="003B3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55EF3"/>
    <w:rsid w:val="0006218F"/>
    <w:rsid w:val="000671B0"/>
    <w:rsid w:val="00070143"/>
    <w:rsid w:val="0007516C"/>
    <w:rsid w:val="00076EAE"/>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4B33"/>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A75A2"/>
    <w:rsid w:val="003B3B99"/>
    <w:rsid w:val="003C7B72"/>
    <w:rsid w:val="003D2A80"/>
    <w:rsid w:val="003E2143"/>
    <w:rsid w:val="003E7855"/>
    <w:rsid w:val="003F4186"/>
    <w:rsid w:val="00401BF5"/>
    <w:rsid w:val="004047B5"/>
    <w:rsid w:val="0040517D"/>
    <w:rsid w:val="00406CCB"/>
    <w:rsid w:val="00412E2E"/>
    <w:rsid w:val="00412EE6"/>
    <w:rsid w:val="0041387F"/>
    <w:rsid w:val="0042196E"/>
    <w:rsid w:val="00423FC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51B50"/>
    <w:rsid w:val="00560A5F"/>
    <w:rsid w:val="005611AA"/>
    <w:rsid w:val="005634FE"/>
    <w:rsid w:val="00564188"/>
    <w:rsid w:val="005867AE"/>
    <w:rsid w:val="00586D65"/>
    <w:rsid w:val="00594094"/>
    <w:rsid w:val="005955CB"/>
    <w:rsid w:val="00595AFF"/>
    <w:rsid w:val="005975FB"/>
    <w:rsid w:val="005A43C7"/>
    <w:rsid w:val="005B6778"/>
    <w:rsid w:val="005C1D79"/>
    <w:rsid w:val="005C3B4B"/>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14EDE"/>
    <w:rsid w:val="00722492"/>
    <w:rsid w:val="007360F8"/>
    <w:rsid w:val="00755A38"/>
    <w:rsid w:val="00756BEE"/>
    <w:rsid w:val="00756FA8"/>
    <w:rsid w:val="007571A0"/>
    <w:rsid w:val="007658F6"/>
    <w:rsid w:val="00765D5D"/>
    <w:rsid w:val="007678A7"/>
    <w:rsid w:val="00776C67"/>
    <w:rsid w:val="00783AA5"/>
    <w:rsid w:val="0079087F"/>
    <w:rsid w:val="00792874"/>
    <w:rsid w:val="007A4652"/>
    <w:rsid w:val="007A5BCD"/>
    <w:rsid w:val="007B749A"/>
    <w:rsid w:val="007B7857"/>
    <w:rsid w:val="007B7DC4"/>
    <w:rsid w:val="007C103E"/>
    <w:rsid w:val="007D17A4"/>
    <w:rsid w:val="007D7B49"/>
    <w:rsid w:val="007E5F16"/>
    <w:rsid w:val="007E7981"/>
    <w:rsid w:val="007F1C12"/>
    <w:rsid w:val="007F2B0C"/>
    <w:rsid w:val="007F3C4F"/>
    <w:rsid w:val="007F4523"/>
    <w:rsid w:val="00810FEA"/>
    <w:rsid w:val="0081164D"/>
    <w:rsid w:val="00812F6F"/>
    <w:rsid w:val="00817F98"/>
    <w:rsid w:val="00825D45"/>
    <w:rsid w:val="0082773D"/>
    <w:rsid w:val="00831B9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5AA1"/>
    <w:rsid w:val="009465A3"/>
    <w:rsid w:val="009473F9"/>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33F4"/>
    <w:rsid w:val="00A65BAE"/>
    <w:rsid w:val="00A71E2C"/>
    <w:rsid w:val="00A72AA8"/>
    <w:rsid w:val="00A91EA6"/>
    <w:rsid w:val="00A94491"/>
    <w:rsid w:val="00A95C48"/>
    <w:rsid w:val="00AA22BA"/>
    <w:rsid w:val="00AB21AF"/>
    <w:rsid w:val="00AB2D68"/>
    <w:rsid w:val="00AD0FC7"/>
    <w:rsid w:val="00AD44E4"/>
    <w:rsid w:val="00AE20BD"/>
    <w:rsid w:val="00AF1413"/>
    <w:rsid w:val="00AF2711"/>
    <w:rsid w:val="00AF6335"/>
    <w:rsid w:val="00AF6DDE"/>
    <w:rsid w:val="00B0112F"/>
    <w:rsid w:val="00B0150F"/>
    <w:rsid w:val="00B025FE"/>
    <w:rsid w:val="00B02D40"/>
    <w:rsid w:val="00B039BA"/>
    <w:rsid w:val="00B068AD"/>
    <w:rsid w:val="00B0720A"/>
    <w:rsid w:val="00B116AA"/>
    <w:rsid w:val="00B122D8"/>
    <w:rsid w:val="00B12B3E"/>
    <w:rsid w:val="00B1643C"/>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7A1"/>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74F5E"/>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64F6C"/>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E6A"/>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EA8B85"/>
  <w15:docId w15:val="{47C8BA3F-7F3F-4A36-B95A-2EFFA23B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900321">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ameras/IP65-67/"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41E30A-062F-4C1E-B4A0-28F85BD5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64F72A88.dotm</Template>
  <TotalTime>0</TotalTime>
  <Pages>1</Pages>
  <Words>698</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5087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Agricola Ariane</cp:lastModifiedBy>
  <cp:revision>13</cp:revision>
  <cp:lastPrinted>2015-02-06T10:33:00Z</cp:lastPrinted>
  <dcterms:created xsi:type="dcterms:W3CDTF">2017-10-24T08:35:00Z</dcterms:created>
  <dcterms:modified xsi:type="dcterms:W3CDTF">2017-10-26T07:30:00Z</dcterms:modified>
</cp:coreProperties>
</file>