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98402" w14:textId="77777777" w:rsidR="008C108E" w:rsidRPr="00385FF6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385FF6">
        <w:rPr>
          <w:sz w:val="44"/>
        </w:rPr>
        <w:t>Comunicato stampa</w:t>
      </w:r>
    </w:p>
    <w:p w14:paraId="6AA98403" w14:textId="77777777" w:rsidR="00812F6F" w:rsidRPr="00832110" w:rsidRDefault="00812F6F" w:rsidP="00812F6F">
      <w:pPr>
        <w:pStyle w:val="BaumerFliesstext"/>
      </w:pPr>
    </w:p>
    <w:p w14:paraId="6AA98404" w14:textId="77777777" w:rsidR="00812F6F" w:rsidRPr="00832110" w:rsidRDefault="00812F6F" w:rsidP="00812F6F">
      <w:pPr>
        <w:pStyle w:val="BaumerFliesstext"/>
      </w:pPr>
    </w:p>
    <w:p w14:paraId="321BB207" w14:textId="77777777" w:rsidR="000F038C" w:rsidRPr="00832110" w:rsidRDefault="000F038C" w:rsidP="000F038C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Il millimetro fa la differenza: risparmiare sui costi con la precisione dei sensori di flusso a induzione magnetica di Baumer</w:t>
      </w:r>
    </w:p>
    <w:p w14:paraId="6AA98406" w14:textId="3869BC67" w:rsidR="00247813" w:rsidRPr="00C8493E" w:rsidRDefault="00247813" w:rsidP="00247813">
      <w:pPr>
        <w:jc w:val="right"/>
        <w:rPr>
          <w:color w:val="FF0000"/>
        </w:rPr>
      </w:pPr>
    </w:p>
    <w:p w14:paraId="38274DA7" w14:textId="359EC68F" w:rsidR="00B2079D" w:rsidRDefault="00B2079D" w:rsidP="00B2079D">
      <w:pPr>
        <w:pStyle w:val="BaumerFliesstext"/>
        <w:spacing w:before="240" w:line="360" w:lineRule="auto"/>
        <w:rPr>
          <w:szCs w:val="20"/>
        </w:rPr>
      </w:pPr>
      <w:r w:rsidRPr="000F038C">
        <w:rPr>
          <w:noProof/>
          <w:szCs w:val="20"/>
          <w:highlight w:val="yellow"/>
          <w:lang w:val="de-DE" w:eastAsia="zh-CN" w:bidi="ar-SA"/>
        </w:rPr>
        <w:drawing>
          <wp:anchor distT="0" distB="0" distL="114300" distR="114300" simplePos="0" relativeHeight="251664384" behindDoc="1" locked="0" layoutInCell="1" allowOverlap="1" wp14:anchorId="0DAE658F" wp14:editId="5210FAAD">
            <wp:simplePos x="0" y="0"/>
            <wp:positionH relativeFrom="column">
              <wp:posOffset>3642995</wp:posOffset>
            </wp:positionH>
            <wp:positionV relativeFrom="paragraph">
              <wp:posOffset>177800</wp:posOffset>
            </wp:positionV>
            <wp:extent cx="2475230" cy="1814830"/>
            <wp:effectExtent l="0" t="0" r="1270" b="0"/>
            <wp:wrapTight wrapText="bothSides">
              <wp:wrapPolygon edited="0">
                <wp:start x="0" y="0"/>
                <wp:lineTo x="0" y="21313"/>
                <wp:lineTo x="21445" y="21313"/>
                <wp:lineTo x="21445" y="0"/>
                <wp:lineTo x="0" y="0"/>
              </wp:wrapPolygon>
            </wp:wrapTight>
            <wp:docPr id="1" name="Grafik 1" descr="C:\Users\chrf\Desktop\Baumer_Photo_PF75H_PF55S_87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f\Desktop\Baumer_Photo_PF75H_PF55S_878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81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FF6" w:rsidRPr="000F038C">
        <w:rPr>
          <w:highlight w:val="yellow"/>
        </w:rPr>
        <w:t>(27/03/2019</w:t>
      </w:r>
      <w:r w:rsidR="000C6777" w:rsidRPr="000F038C">
        <w:rPr>
          <w:highlight w:val="yellow"/>
        </w:rPr>
        <w:t>)</w:t>
      </w:r>
      <w:r w:rsidR="000C6777" w:rsidRPr="000F038C">
        <w:t xml:space="preserve"> </w:t>
      </w:r>
      <w:r w:rsidR="000F038C" w:rsidRPr="000F038C">
        <w:rPr>
          <w:szCs w:val="20"/>
        </w:rPr>
        <w:t>Misura della portata volumetrica, della velocità di flusso e della temperatura – tre delle principali grandezze per il controllo efficiente del processo combinate in un unico sensore, il misuratore di flusso a induzione magnetica. Baumer presenta oggi due nuove serie di prodotti: la PF55S compatta per applicazioni industriali e la famiglia PF75H/S. Quest’ultima misura i fluidi già a partire da una conducibilità di 5 µS/cm ed è disponibile sia in un design per applicazioni igieniche che in un robusto design industriale. I misuratori di flusso sono indicati per velocità di flusso elevate fino a 10 m/s.</w:t>
      </w:r>
    </w:p>
    <w:p w14:paraId="60FB92EE" w14:textId="0E88FB8F" w:rsidR="00990083" w:rsidRPr="00C8493E" w:rsidRDefault="00990083" w:rsidP="00B2079D">
      <w:pPr>
        <w:pStyle w:val="BaumerFliesstext"/>
        <w:spacing w:line="360" w:lineRule="auto"/>
        <w:rPr>
          <w:color w:val="FF0000"/>
        </w:rPr>
      </w:pPr>
    </w:p>
    <w:p w14:paraId="3014A54D" w14:textId="77777777" w:rsidR="000F038C" w:rsidRPr="0028154B" w:rsidRDefault="000F038C" w:rsidP="000F038C">
      <w:pPr>
        <w:pStyle w:val="BaumerFliesstext"/>
        <w:spacing w:line="360" w:lineRule="auto"/>
        <w:rPr>
          <w:b/>
          <w:szCs w:val="20"/>
        </w:rPr>
      </w:pPr>
      <w:r>
        <w:rPr>
          <w:b/>
          <w:szCs w:val="20"/>
        </w:rPr>
        <w:t>Il vantaggio nel processo: dosaggio preciso. Nessuna perdita di energia. Risparmio sui costi.</w:t>
      </w:r>
    </w:p>
    <w:p w14:paraId="1AD1599C" w14:textId="1E6E1A9E" w:rsidR="00B2079D" w:rsidRDefault="000F038C" w:rsidP="000F038C">
      <w:pPr>
        <w:pStyle w:val="BaumerFliesstext"/>
        <w:spacing w:before="240" w:line="360" w:lineRule="auto"/>
        <w:rPr>
          <w:szCs w:val="20"/>
        </w:rPr>
      </w:pPr>
      <w:r w:rsidRPr="000F038C">
        <w:rPr>
          <w:szCs w:val="20"/>
        </w:rPr>
        <w:t>Grazie alla sofisticata struttura del trasduttore di misura, i sensori di flusso a induzione magnetica di Baumer consentono risultati di misura particolarmente precisi, stabili a lungo termini e affidabili, con una precisione fino allo 0,2%. In base a misurazioni altamente precise della portata volumetrica e della velocità di flusso è possibile ottimizzare e controllare i processi di giacenza, miscelazione e dosaggio in modo particolarmente preciso. Questo consente di impiegare in modo estremamente mirato risorse quali liquidi alimentari, sostanze chimiche o acqua potabile e di scarico, riducendone al minimo lo spreco. Le bobine in aria senza nucleo magnetico generano un campo magnetico stabile e indipendente dalla temperatura. Anche le prestazioni stabili della struttura continua del tubo di misura, senza restringimenti o elementi integrati della famiglia PF75, contribuiscono ad un efficiente controllo di processo. Si evitano così perdite di pressione nel sistema; la potenza della pompa e quindi anche il consumo energetico possono essere controllati in modo ottimale.</w:t>
      </w:r>
    </w:p>
    <w:p w14:paraId="3D3540E0" w14:textId="77777777" w:rsidR="00B2079D" w:rsidRDefault="00B2079D" w:rsidP="00B2079D">
      <w:pPr>
        <w:pStyle w:val="BaumerFliesstext"/>
        <w:spacing w:line="360" w:lineRule="auto"/>
        <w:rPr>
          <w:szCs w:val="20"/>
        </w:rPr>
      </w:pPr>
    </w:p>
    <w:p w14:paraId="6B7FE194" w14:textId="77777777" w:rsidR="00B2079D" w:rsidRPr="00603D42" w:rsidRDefault="00B2079D" w:rsidP="00B2079D">
      <w:pPr>
        <w:pStyle w:val="BaumerFliesstext"/>
        <w:spacing w:line="360" w:lineRule="auto"/>
        <w:rPr>
          <w:b/>
          <w:szCs w:val="20"/>
        </w:rPr>
      </w:pPr>
      <w:r>
        <w:rPr>
          <w:b/>
          <w:szCs w:val="20"/>
        </w:rPr>
        <w:t xml:space="preserve">Tutte le informazioni in breve </w:t>
      </w:r>
    </w:p>
    <w:p w14:paraId="629ADC11" w14:textId="77777777" w:rsidR="000F038C" w:rsidRPr="000F038C" w:rsidRDefault="000F038C" w:rsidP="000F038C">
      <w:pPr>
        <w:pStyle w:val="BaumerFliesstext"/>
        <w:spacing w:before="240" w:line="360" w:lineRule="auto"/>
        <w:rPr>
          <w:szCs w:val="20"/>
        </w:rPr>
      </w:pPr>
      <w:r w:rsidRPr="000F038C">
        <w:rPr>
          <w:szCs w:val="20"/>
        </w:rPr>
        <w:t xml:space="preserve">I misuratori di flusso PF75H/S sono disponibili opzionalmente con il rinomato display CombiSeries di Baumer. Con un monitoraggio e un controllo del processo sempre più esigente e complesso, il display consente di monitorare facilmente e in modo efficiente i valori misurati, compresa l'indicazione dei limiti di allarme. Tramite il touch display è possibile impostare direttamente il sensore. Tutte le informazioni necessarie sono visualizzate per essere rilevate a colpo d'occhio, anche a grandi distanze. I vantaggi sono </w:t>
      </w:r>
      <w:r w:rsidRPr="000F038C">
        <w:rPr>
          <w:szCs w:val="20"/>
        </w:rPr>
        <w:lastRenderedPageBreak/>
        <w:t>evidenti: il display permette un comando e un monitoraggio del processo unitari attraverso tutta la serie di prodotti CombiSeries con misura della temperatura, della pressione, della conducibilità e del flusso.</w:t>
      </w:r>
    </w:p>
    <w:p w14:paraId="69F96199" w14:textId="7CEE2E5A" w:rsidR="000F038C" w:rsidRDefault="000F038C" w:rsidP="000F038C">
      <w:pPr>
        <w:pStyle w:val="BaumerFliesstext"/>
        <w:spacing w:line="360" w:lineRule="auto"/>
        <w:rPr>
          <w:szCs w:val="20"/>
        </w:rPr>
      </w:pPr>
      <w:r w:rsidRPr="000F038C">
        <w:rPr>
          <w:szCs w:val="20"/>
        </w:rPr>
        <w:t xml:space="preserve">I sensori di flusso a induzione magnetica di Baumer sono disponibili con tutti i comuni raccordi di processo per applicazioni igieniche e industriali, con liner su misura resistenti alla temperatura e al vuoto, e con un'ampia scelta di diametri tubo da DN3 a DN250. I misuratori di flusso vengono configurati mediante il software operativo e di comando BCP. </w:t>
      </w:r>
    </w:p>
    <w:p w14:paraId="58753179" w14:textId="77777777" w:rsidR="000F038C" w:rsidRPr="000F038C" w:rsidRDefault="000F038C" w:rsidP="000F038C">
      <w:pPr>
        <w:pStyle w:val="BaumerFliesstext"/>
        <w:spacing w:line="360" w:lineRule="auto"/>
        <w:rPr>
          <w:szCs w:val="20"/>
        </w:rPr>
      </w:pPr>
    </w:p>
    <w:p w14:paraId="43D42627" w14:textId="0271880F" w:rsidR="007B440C" w:rsidRPr="00B2079D" w:rsidRDefault="007B440C" w:rsidP="007B440C">
      <w:pPr>
        <w:pStyle w:val="BaumerFliesstext"/>
        <w:spacing w:before="240" w:line="360" w:lineRule="auto"/>
        <w:jc w:val="both"/>
        <w:rPr>
          <w:szCs w:val="20"/>
        </w:rPr>
      </w:pPr>
      <w:r w:rsidRPr="00B2079D">
        <w:t xml:space="preserve">Per ulteriori informazioni: </w:t>
      </w:r>
      <w:r w:rsidR="00385FF6" w:rsidRPr="00B2079D">
        <w:rPr>
          <w:szCs w:val="20"/>
        </w:rPr>
        <w:t>www.baumer.com/</w:t>
      </w:r>
      <w:r w:rsidR="00B2079D" w:rsidRPr="00B2079D">
        <w:rPr>
          <w:szCs w:val="20"/>
        </w:rPr>
        <w:t>magmeter</w:t>
      </w:r>
    </w:p>
    <w:p w14:paraId="6AA9840B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6AA9840D" w14:textId="130F9904" w:rsidR="00454D57" w:rsidRDefault="009371DC" w:rsidP="00D73B0B">
      <w:pPr>
        <w:pStyle w:val="BaumerFliesstext"/>
        <w:tabs>
          <w:tab w:val="left" w:pos="3408"/>
        </w:tabs>
        <w:spacing w:before="120" w:line="360" w:lineRule="auto"/>
      </w:pPr>
      <w:r>
        <w:t xml:space="preserve">Immagine: </w:t>
      </w:r>
      <w:r w:rsidR="000F038C" w:rsidRPr="000F038C">
        <w:t>I sensori di flusso a induzione magnetica di Baumer permettono un monitoraggio efficiente del processo grazie a risultati di misura altamente precisi, affidabili e ripetibili.</w:t>
      </w:r>
    </w:p>
    <w:p w14:paraId="586DDF28" w14:textId="77777777" w:rsidR="000F038C" w:rsidRPr="00832110" w:rsidRDefault="000F038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6AA9840E" w14:textId="22F0637B" w:rsidR="004F726A" w:rsidRPr="00B2079D" w:rsidRDefault="00794599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B2079D">
        <w:rPr>
          <w:sz w:val="16"/>
        </w:rPr>
        <w:t>Numero di caratteri (con spazi</w:t>
      </w:r>
      <w:bookmarkStart w:id="0" w:name="_GoBack"/>
      <w:bookmarkEnd w:id="0"/>
      <w:r w:rsidRPr="000F038C">
        <w:rPr>
          <w:sz w:val="16"/>
        </w:rPr>
        <w:t xml:space="preserve">): </w:t>
      </w:r>
      <w:r w:rsidR="00D73B0B" w:rsidRPr="000F038C">
        <w:rPr>
          <w:sz w:val="16"/>
        </w:rPr>
        <w:t xml:space="preserve">ca. </w:t>
      </w:r>
      <w:r w:rsidR="000F038C" w:rsidRPr="000F038C">
        <w:rPr>
          <w:sz w:val="16"/>
        </w:rPr>
        <w:t>3045</w:t>
      </w:r>
    </w:p>
    <w:p w14:paraId="6AA9840F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>
        <w:rPr>
          <w:sz w:val="16"/>
        </w:rPr>
        <w:t xml:space="preserve">Testo e immagine scaricabili da: </w:t>
      </w:r>
      <w:hyperlink r:id="rId13">
        <w:r>
          <w:rPr>
            <w:rStyle w:val="Hyperlink"/>
            <w:b/>
            <w:sz w:val="16"/>
          </w:rPr>
          <w:t>www.baumer.com/press</w:t>
        </w:r>
      </w:hyperlink>
    </w:p>
    <w:p w14:paraId="6AA98410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>
        <w:rPr>
          <w:b/>
        </w:rPr>
        <w:t xml:space="preserve"> </w:t>
      </w:r>
    </w:p>
    <w:p w14:paraId="6AA98411" w14:textId="77777777" w:rsidR="000C360B" w:rsidRPr="00385FF6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385FF6">
        <w:rPr>
          <w:b/>
          <w:kern w:val="20"/>
          <w:sz w:val="16"/>
        </w:rPr>
        <w:t>Baumer Group</w:t>
      </w:r>
    </w:p>
    <w:p w14:paraId="6AA98412" w14:textId="77777777" w:rsidR="00D73B0B" w:rsidRPr="00385FF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385FF6">
        <w:rPr>
          <w:kern w:val="20"/>
          <w:sz w:val="16"/>
        </w:rPr>
        <w:t xml:space="preserve">Il Gruppo Baumer è uno dei leader a livello internazionale per la produzione di sensori, encoder, strumenti di misura e di componenti per l'elaborazione automatizzata delle immagini. Baumer unisce una tecnologia innovativa a un servizio assistenza orientato al cliente per soluzioni intelligenti per l'automazione di fabbrica e dei processi e offre per questi un'ampia gamma di prodotti e di tecnologia. L'azienda familiare, con circa 2.700 collaboratori e stabilimenti di produzione, filiali e rappresentanze in 38 sedi e 19 paesi, è sempre vicina ai propri clienti. Con standard qualitativi costantemente elevati in tutto il mondo e una grande forza innovativa, Baumer procura ai propri clienti di diversi settori decisivi vantaggi e un evidente plusvalore. Ulteriori informazioni in Internet al sito </w:t>
      </w:r>
      <w:hyperlink r:id="rId14">
        <w:r w:rsidRPr="00385FF6">
          <w:rPr>
            <w:kern w:val="20"/>
            <w:sz w:val="16"/>
            <w:u w:val="single"/>
          </w:rPr>
          <w:t>www.baumer.com</w:t>
        </w:r>
      </w:hyperlink>
    </w:p>
    <w:p w14:paraId="6AA98413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6AA98414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8"/>
        <w:gridCol w:w="3408"/>
        <w:gridCol w:w="2943"/>
      </w:tblGrid>
      <w:tr w:rsidR="00CA1312" w:rsidRPr="00391404" w14:paraId="6AA98428" w14:textId="77777777" w:rsidTr="00D06A30">
        <w:tc>
          <w:tcPr>
            <w:tcW w:w="3369" w:type="dxa"/>
            <w:shd w:val="clear" w:color="auto" w:fill="auto"/>
          </w:tcPr>
          <w:p w14:paraId="6AA98415" w14:textId="77777777" w:rsidR="00CA1312" w:rsidRPr="00385FF6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385FF6">
              <w:rPr>
                <w:b/>
                <w:sz w:val="16"/>
              </w:rPr>
              <w:t>Contatto stampa</w:t>
            </w:r>
          </w:p>
          <w:p w14:paraId="5B915FA2" w14:textId="77777777" w:rsidR="00982EDB" w:rsidRPr="005E7805" w:rsidRDefault="00982EDB" w:rsidP="00982EDB">
            <w:pPr>
              <w:spacing w:line="240" w:lineRule="exact"/>
              <w:rPr>
                <w:sz w:val="16"/>
                <w:szCs w:val="16"/>
              </w:rPr>
            </w:pPr>
            <w:r w:rsidRPr="005E7805">
              <w:rPr>
                <w:sz w:val="16"/>
                <w:szCs w:val="16"/>
              </w:rPr>
              <w:t>Christina Frick</w:t>
            </w:r>
          </w:p>
          <w:p w14:paraId="730EBE23" w14:textId="77777777" w:rsidR="00982EDB" w:rsidRPr="005E7805" w:rsidRDefault="00982EDB" w:rsidP="00982EDB">
            <w:pPr>
              <w:spacing w:line="240" w:lineRule="exact"/>
              <w:rPr>
                <w:sz w:val="16"/>
                <w:szCs w:val="16"/>
              </w:rPr>
            </w:pPr>
            <w:r w:rsidRPr="005E7805">
              <w:rPr>
                <w:sz w:val="16"/>
                <w:szCs w:val="16"/>
              </w:rPr>
              <w:t>Baumer Group</w:t>
            </w:r>
          </w:p>
          <w:p w14:paraId="17A14153" w14:textId="77777777" w:rsidR="00982EDB" w:rsidRPr="0001072F" w:rsidRDefault="00982EDB" w:rsidP="00982EDB">
            <w:pPr>
              <w:spacing w:line="240" w:lineRule="exact"/>
              <w:rPr>
                <w:sz w:val="16"/>
                <w:szCs w:val="16"/>
                <w:highlight w:val="yellow"/>
                <w:lang w:val="en-US"/>
              </w:rPr>
            </w:pPr>
            <w:r w:rsidRPr="0001072F">
              <w:rPr>
                <w:sz w:val="16"/>
                <w:szCs w:val="16"/>
                <w:lang w:val="en-US"/>
              </w:rPr>
              <w:t xml:space="preserve">Phone </w:t>
            </w:r>
            <w:r w:rsidRPr="007618BF">
              <w:rPr>
                <w:sz w:val="16"/>
                <w:szCs w:val="16"/>
                <w:lang w:val="en-US"/>
              </w:rPr>
              <w:t>+49 7771 6474 1205</w:t>
            </w:r>
          </w:p>
          <w:p w14:paraId="2053C354" w14:textId="77777777" w:rsidR="00982EDB" w:rsidRDefault="00982EDB" w:rsidP="00982EDB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Fax     +41 (0)52 728 11 44</w:t>
            </w:r>
          </w:p>
          <w:p w14:paraId="48792D81" w14:textId="77777777" w:rsidR="00982EDB" w:rsidRDefault="00982EDB" w:rsidP="00982EDB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cfrick@baumer.com</w:t>
            </w:r>
          </w:p>
          <w:p w14:paraId="6AA9841C" w14:textId="6BD38C58" w:rsidR="00CA1312" w:rsidRPr="002E4D71" w:rsidRDefault="00982EDB" w:rsidP="00982EDB">
            <w:pPr>
              <w:spacing w:line="240" w:lineRule="exact"/>
              <w:rPr>
                <w:b/>
                <w:sz w:val="16"/>
                <w:szCs w:val="16"/>
              </w:rPr>
            </w:pPr>
            <w:r w:rsidRPr="00A633F4">
              <w:rPr>
                <w:sz w:val="16"/>
                <w:szCs w:val="16"/>
                <w:lang w:val="de-DE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3E61BECD" w14:textId="77777777" w:rsidR="00385FF6" w:rsidRPr="003D717D" w:rsidRDefault="00385FF6" w:rsidP="00385FF6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00F3E">
              <w:rPr>
                <w:b/>
                <w:bCs/>
                <w:sz w:val="16"/>
                <w:szCs w:val="16"/>
              </w:rPr>
              <w:t>Contatto aziendale per la Svizzera</w:t>
            </w:r>
          </w:p>
          <w:p w14:paraId="46E184AE" w14:textId="77777777" w:rsidR="00385FF6" w:rsidRPr="00385FF6" w:rsidRDefault="00385FF6" w:rsidP="00385FF6">
            <w:pPr>
              <w:spacing w:line="240" w:lineRule="exact"/>
              <w:rPr>
                <w:sz w:val="16"/>
                <w:szCs w:val="16"/>
              </w:rPr>
            </w:pPr>
            <w:r w:rsidRPr="00385FF6">
              <w:rPr>
                <w:sz w:val="16"/>
              </w:rPr>
              <w:t>Baumer Electric AG</w:t>
            </w:r>
          </w:p>
          <w:p w14:paraId="54ABE89E" w14:textId="77777777" w:rsidR="00385FF6" w:rsidRPr="00FD7912" w:rsidRDefault="00385FF6" w:rsidP="00385FF6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>Tél. +41 52728 11 22</w:t>
            </w:r>
          </w:p>
          <w:p w14:paraId="6207D455" w14:textId="77777777" w:rsidR="00385FF6" w:rsidRPr="00FD7912" w:rsidRDefault="00385FF6" w:rsidP="00385FF6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>Fax +41 52728 11 44</w:t>
            </w:r>
            <w:r w:rsidRPr="00FD7912">
              <w:rPr>
                <w:lang w:val="fr-FR"/>
              </w:rPr>
              <w:tab/>
            </w:r>
          </w:p>
          <w:p w14:paraId="6169A009" w14:textId="77777777" w:rsidR="00385FF6" w:rsidRPr="00FD7912" w:rsidRDefault="000F038C" w:rsidP="00385FF6">
            <w:pPr>
              <w:spacing w:line="240" w:lineRule="exact"/>
              <w:rPr>
                <w:sz w:val="16"/>
                <w:lang w:val="fr-FR"/>
              </w:rPr>
            </w:pPr>
            <w:hyperlink r:id="rId15">
              <w:r w:rsidR="00385FF6" w:rsidRPr="00FD7912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sales.ch@baumer.com</w:t>
              </w:r>
            </w:hyperlink>
            <w:r w:rsidR="00385FF6" w:rsidRPr="00FD7912">
              <w:rPr>
                <w:sz w:val="16"/>
                <w:lang w:val="fr-FR"/>
              </w:rPr>
              <w:t xml:space="preserve"> </w:t>
            </w:r>
          </w:p>
          <w:p w14:paraId="6AA98422" w14:textId="2C2D6D56" w:rsidR="00CA1312" w:rsidRPr="00832110" w:rsidRDefault="000F038C" w:rsidP="00385FF6">
            <w:pPr>
              <w:spacing w:line="240" w:lineRule="exact"/>
              <w:rPr>
                <w:b/>
                <w:sz w:val="16"/>
                <w:szCs w:val="16"/>
              </w:rPr>
            </w:pPr>
            <w:hyperlink r:id="rId16">
              <w:r w:rsidR="00385FF6" w:rsidRPr="00FD7912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www.baumer.com</w:t>
              </w:r>
            </w:hyperlink>
          </w:p>
        </w:tc>
        <w:tc>
          <w:tcPr>
            <w:tcW w:w="3001" w:type="dxa"/>
          </w:tcPr>
          <w:p w14:paraId="333854E9" w14:textId="77777777" w:rsidR="00385FF6" w:rsidRPr="00800F3E" w:rsidRDefault="00385FF6" w:rsidP="00385FF6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00F3E">
              <w:rPr>
                <w:b/>
                <w:bCs/>
                <w:sz w:val="16"/>
                <w:szCs w:val="16"/>
              </w:rPr>
              <w:t>Contatto aziendale per la Italia</w:t>
            </w:r>
          </w:p>
          <w:p w14:paraId="131E444A" w14:textId="77777777" w:rsidR="00385FF6" w:rsidRPr="00800F3E" w:rsidRDefault="00385FF6" w:rsidP="00385FF6">
            <w:pPr>
              <w:spacing w:line="240" w:lineRule="exact"/>
              <w:rPr>
                <w:sz w:val="16"/>
                <w:szCs w:val="16"/>
              </w:rPr>
            </w:pPr>
            <w:r w:rsidRPr="00800F3E">
              <w:rPr>
                <w:sz w:val="16"/>
                <w:szCs w:val="16"/>
              </w:rPr>
              <w:t>Baumer Italia S.r.L.</w:t>
            </w:r>
          </w:p>
          <w:p w14:paraId="0B2E95F7" w14:textId="77777777" w:rsidR="00385FF6" w:rsidRPr="00800F3E" w:rsidRDefault="00385FF6" w:rsidP="00385FF6">
            <w:pPr>
              <w:spacing w:line="240" w:lineRule="exact"/>
              <w:rPr>
                <w:sz w:val="16"/>
                <w:szCs w:val="16"/>
              </w:rPr>
            </w:pPr>
            <w:r w:rsidRPr="00800F3E">
              <w:rPr>
                <w:sz w:val="16"/>
                <w:szCs w:val="16"/>
              </w:rPr>
              <w:t>Phone +39 02 47665</w:t>
            </w:r>
          </w:p>
          <w:p w14:paraId="153BD85C" w14:textId="5DFA6B27" w:rsidR="00385FF6" w:rsidRPr="00800F3E" w:rsidRDefault="00385FF6" w:rsidP="00385FF6">
            <w:pPr>
              <w:spacing w:line="240" w:lineRule="exact"/>
              <w:rPr>
                <w:sz w:val="16"/>
                <w:szCs w:val="16"/>
              </w:rPr>
            </w:pPr>
            <w:r w:rsidRPr="00800F3E">
              <w:rPr>
                <w:sz w:val="16"/>
                <w:szCs w:val="16"/>
              </w:rPr>
              <w:t>Fax</w:t>
            </w:r>
            <w:r>
              <w:rPr>
                <w:sz w:val="16"/>
                <w:szCs w:val="16"/>
              </w:rPr>
              <w:t xml:space="preserve">     </w:t>
            </w:r>
            <w:r w:rsidRPr="00800F3E">
              <w:rPr>
                <w:sz w:val="16"/>
                <w:szCs w:val="16"/>
              </w:rPr>
              <w:t>+39 02 4570 6211</w:t>
            </w:r>
          </w:p>
          <w:p w14:paraId="6AA98427" w14:textId="33E7FAAB" w:rsidR="00CA1312" w:rsidRPr="00990083" w:rsidRDefault="000F038C" w:rsidP="00385FF6">
            <w:pPr>
              <w:spacing w:line="240" w:lineRule="exact"/>
              <w:rPr>
                <w:b/>
                <w:bCs/>
                <w:color w:val="FF0000"/>
                <w:sz w:val="16"/>
                <w:szCs w:val="16"/>
              </w:rPr>
            </w:pPr>
            <w:hyperlink r:id="rId17" w:history="1">
              <w:r w:rsidR="00385FF6" w:rsidRPr="00385FF6">
                <w:rPr>
                  <w:rStyle w:val="Hyperlink"/>
                  <w:color w:val="auto"/>
                  <w:sz w:val="16"/>
                  <w:u w:val="none"/>
                </w:rPr>
                <w:t>sales.it@baumer.com</w:t>
              </w:r>
            </w:hyperlink>
            <w:r w:rsidR="00385FF6" w:rsidRPr="00385FF6">
              <w:rPr>
                <w:rStyle w:val="Hyperlink"/>
                <w:color w:val="auto"/>
                <w:sz w:val="16"/>
                <w:u w:val="none"/>
              </w:rPr>
              <w:t xml:space="preserve"> </w:t>
            </w:r>
            <w:hyperlink r:id="rId18" w:history="1">
              <w:r w:rsidR="00385FF6" w:rsidRPr="00800F3E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</w:p>
        </w:tc>
      </w:tr>
    </w:tbl>
    <w:p w14:paraId="6AA98429" w14:textId="77777777" w:rsidR="00EA6E92" w:rsidRPr="000D342E" w:rsidRDefault="00EA6E92" w:rsidP="00A60557"/>
    <w:sectPr w:rsidR="00EA6E92" w:rsidRPr="000D342E">
      <w:headerReference w:type="default" r:id="rId19"/>
      <w:footerReference w:type="even" r:id="rId20"/>
      <w:footerReference w:type="default" r:id="rId21"/>
      <w:footerReference w:type="first" r:id="rId22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EEBD4" w14:textId="77777777" w:rsidR="00AC1871" w:rsidRDefault="00AC1871">
      <w:r>
        <w:separator/>
      </w:r>
    </w:p>
  </w:endnote>
  <w:endnote w:type="continuationSeparator" w:id="0">
    <w:p w14:paraId="74C46F25" w14:textId="77777777" w:rsidR="00AC1871" w:rsidRDefault="00AC1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98431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tab/>
    </w:r>
    <w:r>
      <w:rPr>
        <w:sz w:val="20"/>
      </w:rPr>
      <w:t>Baumer Electric AG</w:t>
    </w:r>
  </w:p>
  <w:p w14:paraId="6AA98432" w14:textId="60E9F308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0F038C">
      <w:rPr>
        <w:noProof/>
      </w:rPr>
      <w:t>24.04.2020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>AUTHOR \* MERGEFORMAT</w:instrText>
    </w:r>
    <w:r>
      <w:rPr>
        <w:noProof/>
      </w:rPr>
      <w:fldChar w:fldCharType="end"/>
    </w:r>
    <w:r>
      <w:tab/>
    </w:r>
    <w:r>
      <w:tab/>
      <w:t>Frauenfeld, Switzerland</w:t>
    </w:r>
  </w:p>
  <w:p w14:paraId="6AA98433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98434" w14:textId="4166ADF4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0F038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0F038C">
      <w:rPr>
        <w:noProof/>
        <w:sz w:val="16"/>
      </w:rPr>
      <w:t>2</w:t>
    </w:r>
    <w:r>
      <w:rPr>
        <w:sz w:val="16"/>
      </w:rPr>
      <w:fldChar w:fldCharType="end"/>
    </w:r>
    <w:r>
      <w:tab/>
    </w:r>
    <w:r>
      <w:rPr>
        <w:sz w:val="16"/>
      </w:rPr>
      <w:t>Baumer Group</w:t>
    </w:r>
  </w:p>
  <w:p w14:paraId="6AA98435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tab/>
    </w:r>
    <w:r>
      <w:tab/>
    </w:r>
  </w:p>
  <w:p w14:paraId="6AA98436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9843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tab/>
    </w:r>
    <w:r>
      <w:rPr>
        <w:sz w:val="20"/>
      </w:rPr>
      <w:t>Baumer Electric AG</w:t>
    </w:r>
  </w:p>
  <w:p w14:paraId="6AA98438" w14:textId="08C64C02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0F038C">
      <w:rPr>
        <w:noProof/>
      </w:rPr>
      <w:t>24.04.2020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>AUTHOR \* MERGEFORMAT</w:instrText>
    </w:r>
    <w:r>
      <w:rPr>
        <w:noProof/>
      </w:rPr>
      <w:fldChar w:fldCharType="end"/>
    </w:r>
    <w:r>
      <w:tab/>
    </w:r>
    <w:r>
      <w:tab/>
      <w:t>Frauenfeld, Switzerland</w:t>
    </w:r>
  </w:p>
  <w:p w14:paraId="6AA98439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77756" w14:textId="77777777" w:rsidR="00AC1871" w:rsidRDefault="00AC1871">
      <w:r>
        <w:separator/>
      </w:r>
    </w:p>
  </w:footnote>
  <w:footnote w:type="continuationSeparator" w:id="0">
    <w:p w14:paraId="2EEF4537" w14:textId="77777777" w:rsidR="00AC1871" w:rsidRDefault="00AC1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9843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 w:bidi="ar-SA"/>
      </w:rPr>
      <w:drawing>
        <wp:inline distT="0" distB="0" distL="0" distR="0" wp14:anchorId="6AA9843A" wp14:editId="6AA9843B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rPr>
        <w:noProof/>
        <w:lang w:val="de-DE" w:eastAsia="zh-CN" w:bidi="ar-SA"/>
      </w:rPr>
      <w:drawing>
        <wp:inline distT="0" distB="0" distL="0" distR="0" wp14:anchorId="6AA9843C" wp14:editId="6AA9843D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6777"/>
    <w:rsid w:val="000C7D58"/>
    <w:rsid w:val="000D1067"/>
    <w:rsid w:val="000D3250"/>
    <w:rsid w:val="000D342E"/>
    <w:rsid w:val="000D361A"/>
    <w:rsid w:val="000F038C"/>
    <w:rsid w:val="000F6DFA"/>
    <w:rsid w:val="00106CC0"/>
    <w:rsid w:val="00110207"/>
    <w:rsid w:val="00114804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26420"/>
    <w:rsid w:val="0023085B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77EAF"/>
    <w:rsid w:val="00285805"/>
    <w:rsid w:val="00285EA4"/>
    <w:rsid w:val="002877F1"/>
    <w:rsid w:val="00287C0E"/>
    <w:rsid w:val="00297995"/>
    <w:rsid w:val="002C6B3F"/>
    <w:rsid w:val="002D3AE9"/>
    <w:rsid w:val="002E4D71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737BF"/>
    <w:rsid w:val="00385FF6"/>
    <w:rsid w:val="00387478"/>
    <w:rsid w:val="00391404"/>
    <w:rsid w:val="00392B64"/>
    <w:rsid w:val="003A3B92"/>
    <w:rsid w:val="003A3F92"/>
    <w:rsid w:val="003B7408"/>
    <w:rsid w:val="003C3463"/>
    <w:rsid w:val="003D2A80"/>
    <w:rsid w:val="003E2143"/>
    <w:rsid w:val="003E7855"/>
    <w:rsid w:val="003F11BC"/>
    <w:rsid w:val="003F4186"/>
    <w:rsid w:val="003F44BB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1637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A5291"/>
    <w:rsid w:val="004B6E88"/>
    <w:rsid w:val="004C115C"/>
    <w:rsid w:val="004D2A71"/>
    <w:rsid w:val="004E2699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D65F3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50A38"/>
    <w:rsid w:val="0066121D"/>
    <w:rsid w:val="00661BFC"/>
    <w:rsid w:val="00661E9F"/>
    <w:rsid w:val="00664072"/>
    <w:rsid w:val="006746E5"/>
    <w:rsid w:val="006836DF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200AE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94599"/>
    <w:rsid w:val="007A5BCD"/>
    <w:rsid w:val="007B440C"/>
    <w:rsid w:val="007B749A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35AC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E7033"/>
    <w:rsid w:val="008F3F87"/>
    <w:rsid w:val="00903B1F"/>
    <w:rsid w:val="00923462"/>
    <w:rsid w:val="009251B4"/>
    <w:rsid w:val="009274F2"/>
    <w:rsid w:val="00927878"/>
    <w:rsid w:val="009371DC"/>
    <w:rsid w:val="0094641B"/>
    <w:rsid w:val="009465A3"/>
    <w:rsid w:val="009571F9"/>
    <w:rsid w:val="00960872"/>
    <w:rsid w:val="009616F1"/>
    <w:rsid w:val="009633B6"/>
    <w:rsid w:val="00963B9A"/>
    <w:rsid w:val="00963F21"/>
    <w:rsid w:val="00977539"/>
    <w:rsid w:val="0098158F"/>
    <w:rsid w:val="00981741"/>
    <w:rsid w:val="00981973"/>
    <w:rsid w:val="00982434"/>
    <w:rsid w:val="00982EDB"/>
    <w:rsid w:val="00990083"/>
    <w:rsid w:val="00991F73"/>
    <w:rsid w:val="009975F0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C1871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33F3"/>
    <w:rsid w:val="00B179CB"/>
    <w:rsid w:val="00B2079D"/>
    <w:rsid w:val="00B405C0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317D"/>
    <w:rsid w:val="00BA4EA5"/>
    <w:rsid w:val="00BB106D"/>
    <w:rsid w:val="00BB1C60"/>
    <w:rsid w:val="00BC1524"/>
    <w:rsid w:val="00BC5444"/>
    <w:rsid w:val="00BC7E58"/>
    <w:rsid w:val="00BD0160"/>
    <w:rsid w:val="00BD0FC4"/>
    <w:rsid w:val="00BE219E"/>
    <w:rsid w:val="00BF27CE"/>
    <w:rsid w:val="00BF45F8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8493E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3A4F"/>
    <w:rsid w:val="00E54CBE"/>
    <w:rsid w:val="00E60EEA"/>
    <w:rsid w:val="00E644C3"/>
    <w:rsid w:val="00E66E57"/>
    <w:rsid w:val="00E71941"/>
    <w:rsid w:val="00E719B9"/>
    <w:rsid w:val="00E74F3F"/>
    <w:rsid w:val="00E94B12"/>
    <w:rsid w:val="00E97B0A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1809"/>
    <w:rsid w:val="00F44BE6"/>
    <w:rsid w:val="00F54167"/>
    <w:rsid w:val="00F562DD"/>
    <w:rsid w:val="00F671B1"/>
    <w:rsid w:val="00F70C7B"/>
    <w:rsid w:val="00F74B39"/>
    <w:rsid w:val="00F77404"/>
    <w:rsid w:val="00F87A1B"/>
    <w:rsid w:val="00F91B62"/>
    <w:rsid w:val="00F95B93"/>
    <w:rsid w:val="00F96E79"/>
    <w:rsid w:val="00FA7852"/>
    <w:rsid w:val="00FB15CA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AA98402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it-IT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it-IT" w:eastAsia="it-IT" w:bidi="it-IT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it-IT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it-IT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it-IT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it-IT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it-IT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it-IT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it-IT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7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4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2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yperlink" Target="http://www.baumer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mailto:sales.it@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mailto:sales.ch@baumer.com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DE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 xsi:nil="true"/>
    <BBSStorage xmlns="e7b51557-81f9-4e64-8758-5330901a8bf6" xsi:nil="true"/>
    <BBSScope xmlns="e7b51557-81f9-4e64-8758-5330901a8bf6">
      <Value>ALL</Value>
    </BBSScope>
    <BBSDocType xmlns="e7b51557-81f9-4e64-8758-5330901a8bf6" xsi:nil="true"/>
    <BBSDeleteMark xmlns="e7b51557-81f9-4e64-8758-5330901a8bf6">false</BBSDeleteMark>
    <BBSCategory xmlns="e7b51557-81f9-4e64-8758-5330901a8bf6">TPL</BBSCategory>
  </documentManagement>
</p:properties>
</file>

<file path=customXml/item2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purl.org/dc/dcmitype/"/>
    <ds:schemaRef ds:uri="e7b51557-81f9-4e64-8758-5330901a8bf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66D9ECA-E8F5-42B1-B424-55162242269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2063382-B5E6-4B83-8BAB-220E87A61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075BD9A-CE38-4378-830A-B5FEA4082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D9B0409B.dotm</Template>
  <TotalTime>0</TotalTime>
  <Pages>2</Pages>
  <Words>679</Words>
  <Characters>4224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>S. Diepenbrock</Manager>
  <Company>Baumer Management Services AG</Company>
  <LinksUpToDate>false</LinksUpToDate>
  <CharactersWithSpaces>4894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Baumer</dc:creator>
  <cp:keywords>Presseinformation, Pressemitteilung, PR, 81173188, PR template</cp:keywords>
  <cp:lastModifiedBy>Frick Christina</cp:lastModifiedBy>
  <cp:revision>2</cp:revision>
  <cp:lastPrinted>2015-02-06T10:33:00Z</cp:lastPrinted>
  <dcterms:created xsi:type="dcterms:W3CDTF">2020-07-17T06:12:00Z</dcterms:created>
  <dcterms:modified xsi:type="dcterms:W3CDTF">2020-07-17T06:12:00Z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370300</vt:r8>
  </property>
  <property fmtid="{D5CDD505-2E9C-101B-9397-08002B2CF9AE}" pid="3" name="Language">
    <vt:lpwstr>;#DE;#</vt:lpwstr>
  </property>
  <property fmtid="{D5CDD505-2E9C-101B-9397-08002B2CF9AE}" pid="4" name="Topic">
    <vt:lpwstr>Presseinformation, Pressemitteilung, PR, 81173188, PR template</vt:lpwstr>
  </property>
  <property fmtid="{D5CDD505-2E9C-101B-9397-08002B2CF9AE}" pid="5" name="Validity">
    <vt:lpwstr>;#ALL;#</vt:lpwstr>
  </property>
  <property fmtid="{D5CDD505-2E9C-101B-9397-08002B2CF9AE}" pid="6" name="Level">
    <vt:lpwstr>Group</vt:lpwstr>
  </property>
  <property fmtid="{D5CDD505-2E9C-101B-9397-08002B2CF9AE}" pid="7" name="Retention period">
    <vt:lpwstr>none</vt:lpwstr>
  </property>
  <property fmtid="{D5CDD505-2E9C-101B-9397-08002B2CF9AE}" pid="8" name="Validity / Gültigkeit">
    <vt:lpwstr>;#ALL;#</vt:lpwstr>
  </property>
  <property fmtid="{D5CDD505-2E9C-101B-9397-08002B2CF9AE}" pid="9" name="Storage">
    <vt:lpwstr>E</vt:lpwstr>
  </property>
  <property fmtid="{D5CDD505-2E9C-101B-9397-08002B2CF9AE}" pid="10" name="ContentTypeId">
    <vt:lpwstr>0x0101001195B620A1DC30408F0DEFABF60333C70062488EE1223A9D4BB9AFEAF42A9486AB</vt:lpwstr>
  </property>
  <property fmtid="{D5CDD505-2E9C-101B-9397-08002B2CF9AE}" pid="11" name="Doc Type">
    <vt:lpwstr>SOP</vt:lpwstr>
  </property>
  <property fmtid="{D5CDD505-2E9C-101B-9397-08002B2CF9AE}" pid="12" name="BBS Process">
    <vt:lpwstr>;#02.02.;#</vt:lpwstr>
  </property>
  <property fmtid="{D5CDD505-2E9C-101B-9397-08002B2CF9AE}" pid="13" name="BBS Categorie">
    <vt:lpwstr>TPL</vt:lpwstr>
  </property>
  <property fmtid="{D5CDD505-2E9C-101B-9397-08002B2CF9AE}" pid="14" name="Change History">
    <vt:lpwstr>01.02.2017: kleinere formelle Anpassungen</vt:lpwstr>
  </property>
  <property fmtid="{D5CDD505-2E9C-101B-9397-08002B2CF9AE}" pid="15" name="Löschkennzeichen">
    <vt:bool>false</vt:bool>
  </property>
  <property fmtid="{D5CDD505-2E9C-101B-9397-08002B2CF9AE}" pid="16" name="Owner">
    <vt:lpwstr>168;#Maier Silke</vt:lpwstr>
  </property>
  <property fmtid="{D5CDD505-2E9C-101B-9397-08002B2CF9AE}" pid="17" name="WorkflowChangePath">
    <vt:lpwstr>21695a0c-671b-4820-9294-8d5cc2411e98,9;21695a0c-671b-4820-9294-8d5cc2411e98,9;0ecd2ca7-9996-4691-b84c-86f9c2b33666,13;</vt:lpwstr>
  </property>
</Properties>
</file>